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EC" w:rsidRPr="00393186" w:rsidRDefault="00A770EC" w:rsidP="00A77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A770EC" w:rsidRPr="00C019CA" w:rsidTr="006752D2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EC" w:rsidRPr="00C019CA" w:rsidRDefault="00A770EC" w:rsidP="006752D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C019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296CAB63" wp14:editId="48F7CCEE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9CA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EC" w:rsidRPr="00C019CA" w:rsidRDefault="00A770EC" w:rsidP="006752D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A770EC" w:rsidRPr="00C019CA" w:rsidRDefault="00A770EC" w:rsidP="006752D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A770EC" w:rsidRPr="00C019CA" w:rsidTr="006752D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EC" w:rsidRPr="00C019CA" w:rsidRDefault="00A770EC" w:rsidP="006752D2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EC" w:rsidRPr="00C019CA" w:rsidRDefault="00A770EC" w:rsidP="006752D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A770EC" w:rsidRPr="00C019CA" w:rsidRDefault="00A770EC" w:rsidP="006752D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A770EC" w:rsidRPr="00C019CA" w:rsidRDefault="00A770EC" w:rsidP="006752D2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A770EC" w:rsidRPr="00C019CA" w:rsidTr="006752D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EC" w:rsidRPr="00C019CA" w:rsidRDefault="00A770EC" w:rsidP="006752D2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EC" w:rsidRPr="00C019CA" w:rsidRDefault="00A770EC" w:rsidP="006752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770EC" w:rsidRPr="00C019CA" w:rsidRDefault="00A770EC" w:rsidP="00A770EC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Gentile candidato,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C019CA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C019CA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C019CA">
        <w:rPr>
          <w:rFonts w:ascii="Times New Roman" w:hAnsi="Times New Roman"/>
          <w:szCs w:val="18"/>
        </w:rPr>
        <w:t>;</w:t>
      </w:r>
    </w:p>
    <w:p w:rsidR="00A770EC" w:rsidRPr="00C019CA" w:rsidRDefault="00A770EC" w:rsidP="00A770EC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A770EC" w:rsidRPr="00C019CA" w:rsidRDefault="00A770EC" w:rsidP="00A770EC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A770EC" w:rsidRPr="00C019CA" w:rsidRDefault="00A770EC" w:rsidP="00A770EC">
      <w:pPr>
        <w:jc w:val="both"/>
        <w:rPr>
          <w:rFonts w:ascii="Times New Roman" w:hAnsi="Times New Roman"/>
          <w:b/>
          <w:szCs w:val="18"/>
        </w:rPr>
      </w:pPr>
    </w:p>
    <w:p w:rsidR="00A770EC" w:rsidRPr="00C019CA" w:rsidRDefault="00A770EC" w:rsidP="00A770EC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C019CA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 I dati di contatto del Titolare sono:  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ASL di Pescara, Via  R. Paolini, 47 a Pescara. 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, PEC: </w:t>
      </w:r>
      <w:hyperlink r:id="rId8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  <w:lang w:val="en-US"/>
        </w:rPr>
      </w:pPr>
    </w:p>
    <w:p w:rsidR="00A770EC" w:rsidRPr="00C019CA" w:rsidRDefault="00A770EC" w:rsidP="00A770EC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2. DATI DI CONTATTO</w:t>
      </w: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b/>
          <w:szCs w:val="18"/>
        </w:rPr>
        <w:t>DEL RESPONSABILE DELLA PROTEZIONE DEI DATI</w:t>
      </w:r>
    </w:p>
    <w:p w:rsidR="00A770EC" w:rsidRPr="00C019CA" w:rsidRDefault="00A770EC" w:rsidP="00A770EC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A770EC" w:rsidRPr="00C019CA" w:rsidRDefault="00A770EC" w:rsidP="00A770EC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A770EC" w:rsidRPr="00C019CA" w:rsidRDefault="00A770EC" w:rsidP="00A770EC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A770EC" w:rsidRPr="00C019CA" w:rsidRDefault="00A770EC" w:rsidP="00A770EC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Dati di contatto del Responsabile della Protezione dei Dati: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ASL di Pescara,  Via  R. Paolini, 47 a Pescara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 , PEC: </w:t>
      </w:r>
      <w:hyperlink r:id="rId10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  <w:lang w:val="en-US"/>
        </w:rPr>
      </w:pPr>
    </w:p>
    <w:p w:rsidR="00A770EC" w:rsidRPr="00C019CA" w:rsidRDefault="00A770EC" w:rsidP="00A770EC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3. FINALITÀ DEL TRATTAMENTO. </w:t>
      </w:r>
    </w:p>
    <w:p w:rsidR="00A770EC" w:rsidRPr="00C019CA" w:rsidRDefault="00A770EC" w:rsidP="00A770EC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A770EC" w:rsidRPr="00C019CA" w:rsidRDefault="00A770EC" w:rsidP="00A770EC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A770EC" w:rsidRPr="00C019CA" w:rsidRDefault="00A770EC" w:rsidP="00A770EC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A770EC" w:rsidRPr="00C019CA" w:rsidRDefault="00A770EC" w:rsidP="00A770EC">
      <w:pPr>
        <w:jc w:val="both"/>
        <w:rPr>
          <w:rFonts w:ascii="Times New Roman" w:hAnsi="Times New Roman"/>
          <w:color w:val="000000"/>
          <w:szCs w:val="18"/>
        </w:rPr>
      </w:pPr>
    </w:p>
    <w:p w:rsidR="00A770EC" w:rsidRPr="00C019CA" w:rsidRDefault="00A770EC" w:rsidP="00A770EC">
      <w:pPr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b/>
          <w:szCs w:val="18"/>
        </w:rPr>
        <w:t>4. BASE GIURIDICA DEL TRATTAMENTO</w:t>
      </w:r>
      <w:r w:rsidRPr="00C019CA">
        <w:rPr>
          <w:rFonts w:ascii="Times New Roman" w:hAnsi="Times New Roman"/>
          <w:szCs w:val="18"/>
        </w:rPr>
        <w:t xml:space="preserve">. </w:t>
      </w:r>
    </w:p>
    <w:p w:rsidR="00A770EC" w:rsidRPr="00C019CA" w:rsidRDefault="00A770EC" w:rsidP="00A770EC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770EC" w:rsidRDefault="00A770EC" w:rsidP="00A770EC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A770EC" w:rsidRPr="00C019CA" w:rsidRDefault="00A770EC" w:rsidP="00A770EC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770EC" w:rsidRPr="00C019CA" w:rsidTr="006752D2">
        <w:trPr>
          <w:trHeight w:val="2203"/>
        </w:trPr>
        <w:tc>
          <w:tcPr>
            <w:tcW w:w="9777" w:type="dxa"/>
          </w:tcPr>
          <w:p w:rsidR="00A770EC" w:rsidRPr="00C019CA" w:rsidRDefault="00A770EC" w:rsidP="006752D2">
            <w:pPr>
              <w:spacing w:after="120"/>
              <w:jc w:val="both"/>
              <w:rPr>
                <w:rFonts w:ascii="Times New Roman" w:hAnsi="Times New Roman"/>
                <w:b/>
                <w:szCs w:val="18"/>
              </w:rPr>
            </w:pPr>
            <w:r w:rsidRPr="00C019CA">
              <w:rPr>
                <w:rFonts w:ascii="Times New Roman" w:hAnsi="Times New Roman"/>
                <w:b/>
                <w:szCs w:val="18"/>
              </w:rPr>
              <w:lastRenderedPageBreak/>
              <w:t>5. AMBITO DI COMUNICAZIONE DEI DATI (DESTINATARI)</w:t>
            </w:r>
          </w:p>
          <w:p w:rsidR="00A770EC" w:rsidRPr="00C019CA" w:rsidRDefault="00A770EC" w:rsidP="006752D2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A770EC" w:rsidRPr="00C019CA" w:rsidRDefault="00A770EC" w:rsidP="00A770EC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Regione Abruzzo;</w:t>
            </w:r>
          </w:p>
          <w:p w:rsidR="00A770EC" w:rsidRPr="00C019CA" w:rsidRDefault="00A770EC" w:rsidP="00A770EC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770EC" w:rsidRPr="00C019CA" w:rsidRDefault="00A770EC" w:rsidP="00A770EC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  <w:p w:rsidR="00A770EC" w:rsidRPr="00C019CA" w:rsidRDefault="00A770EC" w:rsidP="006752D2">
            <w:pPr>
              <w:rPr>
                <w:rFonts w:ascii="Times New Roman" w:hAnsi="Times New Roman"/>
                <w:szCs w:val="18"/>
              </w:rPr>
            </w:pPr>
          </w:p>
        </w:tc>
      </w:tr>
    </w:tbl>
    <w:p w:rsidR="00A770EC" w:rsidRPr="00C019CA" w:rsidRDefault="00A770EC" w:rsidP="00A770EC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770EC" w:rsidRPr="00C019CA" w:rsidTr="006752D2">
        <w:trPr>
          <w:trHeight w:val="1495"/>
        </w:trPr>
        <w:tc>
          <w:tcPr>
            <w:tcW w:w="9778" w:type="dxa"/>
            <w:hideMark/>
          </w:tcPr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770EC" w:rsidRPr="00C019CA" w:rsidRDefault="00A770EC" w:rsidP="00A770E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A770EC" w:rsidRPr="00C019CA" w:rsidRDefault="00A770EC" w:rsidP="00A770E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A770EC" w:rsidRPr="00C019CA" w:rsidRDefault="00A770EC" w:rsidP="00A770E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A770EC" w:rsidRPr="00C019CA" w:rsidRDefault="00A770EC" w:rsidP="00A770E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A770EC" w:rsidRPr="00C019CA" w:rsidRDefault="00A770EC" w:rsidP="00A770E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A770EC" w:rsidRPr="00C019CA" w:rsidRDefault="00A770EC" w:rsidP="00A770E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770EC" w:rsidRPr="00C019CA" w:rsidRDefault="00A770EC" w:rsidP="00A770EC">
      <w:pPr>
        <w:rPr>
          <w:rFonts w:ascii="Times New Roman" w:hAnsi="Times New Roman"/>
          <w:b/>
          <w:szCs w:val="18"/>
        </w:rPr>
      </w:pPr>
    </w:p>
    <w:p w:rsidR="00A770EC" w:rsidRPr="00C019CA" w:rsidRDefault="00A770EC" w:rsidP="00A770EC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770EC" w:rsidRPr="00C019CA" w:rsidTr="006752D2">
        <w:tc>
          <w:tcPr>
            <w:tcW w:w="9778" w:type="dxa"/>
          </w:tcPr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A770EC" w:rsidRPr="00C019CA" w:rsidRDefault="00A770EC" w:rsidP="00A770EC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770EC" w:rsidRPr="00C019CA" w:rsidTr="006752D2">
        <w:tc>
          <w:tcPr>
            <w:tcW w:w="9778" w:type="dxa"/>
          </w:tcPr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A770EC" w:rsidRPr="00C019CA" w:rsidRDefault="00A770EC" w:rsidP="00A770EC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A770EC" w:rsidRPr="00C019CA" w:rsidRDefault="00A770EC" w:rsidP="00A770EC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  <w:u w:val="single"/>
        </w:rPr>
        <w:t>Conservazione Illimitata:</w:t>
      </w:r>
      <w:r w:rsidRPr="00C019CA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A770EC" w:rsidRPr="00C019CA" w:rsidRDefault="00A770EC" w:rsidP="00A770EC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A770EC" w:rsidRPr="00C019CA" w:rsidRDefault="00A770EC" w:rsidP="00A770EC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770EC" w:rsidRPr="00C019CA" w:rsidTr="006752D2">
        <w:tc>
          <w:tcPr>
            <w:tcW w:w="9778" w:type="dxa"/>
            <w:hideMark/>
          </w:tcPr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770EC" w:rsidRPr="00C019CA" w:rsidRDefault="00A770EC" w:rsidP="00A770EC">
      <w:pPr>
        <w:rPr>
          <w:rFonts w:ascii="Times New Roman" w:hAnsi="Times New Roman"/>
          <w:b/>
          <w:szCs w:val="18"/>
        </w:rPr>
      </w:pPr>
    </w:p>
    <w:p w:rsidR="00A770EC" w:rsidRPr="00C019CA" w:rsidRDefault="00A770EC" w:rsidP="00A770EC">
      <w:pPr>
        <w:rPr>
          <w:rFonts w:ascii="Times New Roman" w:hAnsi="Times New Roman"/>
          <w:b/>
          <w:color w:val="000000"/>
          <w:szCs w:val="18"/>
        </w:rPr>
      </w:pPr>
      <w:r w:rsidRPr="00C019CA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770EC" w:rsidRPr="00C019CA" w:rsidTr="006752D2">
        <w:tc>
          <w:tcPr>
            <w:tcW w:w="9778" w:type="dxa"/>
            <w:hideMark/>
          </w:tcPr>
          <w:p w:rsidR="00A770EC" w:rsidRPr="00C019CA" w:rsidRDefault="00A770EC" w:rsidP="006752D2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A770EC" w:rsidRDefault="00A770EC" w:rsidP="00A77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770EC" w:rsidRDefault="00A770EC" w:rsidP="00A77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770EC" w:rsidRPr="00C27F3C" w:rsidRDefault="00A770EC" w:rsidP="00A770E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770EC" w:rsidRPr="00B9768E" w:rsidRDefault="00A770EC" w:rsidP="00A770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A770EC" w:rsidRDefault="00A770EC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615FA" w:rsidTr="006024B1">
        <w:tc>
          <w:tcPr>
            <w:tcW w:w="9778" w:type="dxa"/>
            <w:hideMark/>
          </w:tcPr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D615FA" w:rsidTr="006024B1">
        <w:tc>
          <w:tcPr>
            <w:tcW w:w="9778" w:type="dxa"/>
            <w:hideMark/>
          </w:tcPr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gestionale di struttura semplice denominato </w:t>
      </w:r>
      <w:r>
        <w:rPr>
          <w:rFonts w:ascii="Times New Roman" w:hAnsi="Times New Roman"/>
          <w:sz w:val="22"/>
          <w:szCs w:val="22"/>
        </w:rPr>
        <w:t>“U.O.S. CENTRO PER I DISTURBI DEL NEUROSVILUPPO”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bCs/>
          <w:noProof w:val="0"/>
          <w:sz w:val="22"/>
          <w:szCs w:val="22"/>
        </w:rPr>
        <w:t>riservato ai dirigenti medici in servizio presso la U.O.C. Neuropsichiatria Infantile</w:t>
      </w:r>
      <w:r w:rsidRPr="00702FA9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>
        <w:rPr>
          <w:rFonts w:ascii="Times New Roman" w:hAnsi="Times New Roman"/>
          <w:bCs/>
          <w:noProof w:val="0"/>
          <w:sz w:val="22"/>
          <w:szCs w:val="22"/>
        </w:rPr>
        <w:t>della ASL di Pescara, con anzianità di servizio di almeno cinque anni, che abbiano superato la verifica del Collegio Tecnico</w:t>
      </w:r>
      <w:r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indetto da Codesta Azienda Sanitaria Locale con deliberazione numero ___ del 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_._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_.____.</w:t>
      </w: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615FA" w:rsidRDefault="00D615FA" w:rsidP="00D615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D615FA" w:rsidRDefault="00D615FA" w:rsidP="00D615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D615FA" w:rsidRDefault="00D615FA" w:rsidP="00D615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D615FA" w:rsidRDefault="00D615FA" w:rsidP="00D615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D615FA" w:rsidRDefault="00D615FA" w:rsidP="00D615F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D615FA" w:rsidRDefault="00D615FA" w:rsidP="00D615F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__________________________________________________________________________.</w:t>
      </w:r>
    </w:p>
    <w:p w:rsidR="00D615FA" w:rsidRDefault="00D615FA" w:rsidP="00D61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615FA" w:rsidRDefault="00D615FA" w:rsidP="00D61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D615FA" w:rsidRDefault="00D615FA" w:rsidP="00D61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615FA" w:rsidRDefault="00D615FA" w:rsidP="00D61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615FA" w:rsidRDefault="00D615FA" w:rsidP="00D61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615FA" w:rsidRDefault="00D615FA" w:rsidP="00D61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D615FA" w:rsidRDefault="00D615FA" w:rsidP="00D61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615FA" w:rsidRDefault="00D615FA" w:rsidP="00D61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615FA" w:rsidRDefault="00D615FA" w:rsidP="00D61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615FA" w:rsidTr="006024B1">
        <w:tc>
          <w:tcPr>
            <w:tcW w:w="9778" w:type="dxa"/>
          </w:tcPr>
          <w:p w:rsidR="00D615FA" w:rsidRDefault="00D615FA" w:rsidP="006024B1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D615FA" w:rsidRDefault="00D615FA" w:rsidP="006024B1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D615FA" w:rsidRDefault="00D615FA" w:rsidP="006024B1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gestionale di struttura semplice denominato “U.O.S. </w:t>
            </w:r>
            <w:r>
              <w:rPr>
                <w:sz w:val="22"/>
                <w:szCs w:val="22"/>
              </w:rPr>
              <w:t>CENTRO PER I DISTURBI DEL NEUROSVILUPPO</w:t>
            </w:r>
            <w:r w:rsidRPr="00393186">
              <w:rPr>
                <w:sz w:val="22"/>
                <w:szCs w:val="22"/>
              </w:rPr>
              <w:t>”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bCs/>
                <w:color w:val="000000"/>
                <w:sz w:val="22"/>
              </w:rPr>
              <w:t xml:space="preserve">riservato ai dirigenti medici </w:t>
            </w:r>
            <w:r>
              <w:rPr>
                <w:color w:val="000000"/>
                <w:sz w:val="22"/>
              </w:rPr>
              <w:t xml:space="preserve">assunti presso la </w:t>
            </w:r>
            <w:r w:rsidRPr="00393186">
              <w:rPr>
                <w:bCs/>
                <w:sz w:val="22"/>
                <w:szCs w:val="22"/>
              </w:rPr>
              <w:t xml:space="preserve">U.O.C. </w:t>
            </w:r>
            <w:r>
              <w:rPr>
                <w:bCs/>
                <w:sz w:val="22"/>
                <w:szCs w:val="22"/>
              </w:rPr>
              <w:t>Neuropsichiatria Infantile</w:t>
            </w:r>
            <w:r>
              <w:rPr>
                <w:color w:val="000000"/>
                <w:sz w:val="22"/>
              </w:rPr>
              <w:t>”</w:t>
            </w:r>
            <w:r>
              <w:rPr>
                <w:sz w:val="22"/>
                <w:szCs w:val="22"/>
              </w:rPr>
              <w:t>, con anzianità di servizio di almeno cinque anni, che abbiano superato la verifica del Collegio Tecnico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indetto da Codesta Azienda Sanitaria Locale con deliberazione numero __ del __.__.____.</w:t>
            </w:r>
            <w:r>
              <w:t xml:space="preserve"> 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D615FA" w:rsidRDefault="00D615FA" w:rsidP="006024B1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4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4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4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4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4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4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4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4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615FA" w:rsidRDefault="00D615FA" w:rsidP="00D615FA">
            <w:pPr>
              <w:pStyle w:val="NormaleWeb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D615FA" w:rsidRDefault="00D615FA" w:rsidP="006024B1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D615FA" w:rsidTr="006024B1">
        <w:tc>
          <w:tcPr>
            <w:tcW w:w="9778" w:type="dxa"/>
          </w:tcPr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615FA" w:rsidRDefault="00D615FA" w:rsidP="006024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D615FA" w:rsidRDefault="00D615FA" w:rsidP="00D615FA"/>
    <w:p w:rsidR="000509F6" w:rsidRDefault="000509F6"/>
    <w:sectPr w:rsidR="00050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FA"/>
    <w:rsid w:val="000509F6"/>
    <w:rsid w:val="00A770EC"/>
    <w:rsid w:val="00D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A9BD"/>
  <w15:chartTrackingRefBased/>
  <w15:docId w15:val="{FB12DFEA-EDD2-417A-B6DC-6CBEB233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5FA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615F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6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615F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2130</Words>
  <Characters>12144</Characters>
  <Application>Microsoft Office Word</Application>
  <DocSecurity>0</DocSecurity>
  <Lines>101</Lines>
  <Paragraphs>28</Paragraphs>
  <ScaleCrop>false</ScaleCrop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2023-09-06T15:19:00Z</dcterms:created>
  <dcterms:modified xsi:type="dcterms:W3CDTF">2023-09-26T09:55:00Z</dcterms:modified>
</cp:coreProperties>
</file>